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57072">
      <w:pPr>
        <w:pStyle w:val="2"/>
        <w:widowControl/>
        <w:snapToGrid w:val="0"/>
        <w:spacing w:before="0" w:after="0" w:line="360" w:lineRule="auto"/>
        <w:jc w:val="center"/>
        <w:rPr>
          <w:rFonts w:hint="eastAsia" w:ascii="黑体" w:hAnsi="黑体" w:eastAsia="黑体"/>
          <w:sz w:val="28"/>
        </w:rPr>
      </w:pPr>
      <w:r>
        <w:rPr>
          <w:color w:val="auto"/>
        </w:rPr>
        <w:t>采购需求及技术规格要求</w:t>
      </w:r>
    </w:p>
    <w:p w14:paraId="630AF4E0">
      <w:pPr>
        <w:jc w:val="left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一、采购需求前附表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004"/>
        <w:gridCol w:w="5713"/>
      </w:tblGrid>
      <w:tr w14:paraId="3B46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pct"/>
            <w:noWrap w:val="0"/>
            <w:vAlign w:val="top"/>
          </w:tcPr>
          <w:p w14:paraId="514353F2">
            <w:pPr>
              <w:spacing w:before="96" w:beforeLines="40" w:after="96" w:afterLines="40"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176" w:type="pct"/>
            <w:noWrap w:val="0"/>
            <w:vAlign w:val="top"/>
          </w:tcPr>
          <w:p w14:paraId="59E23939">
            <w:pPr>
              <w:spacing w:before="96" w:beforeLines="40" w:after="96" w:afterLines="40"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条款名称</w:t>
            </w:r>
          </w:p>
        </w:tc>
        <w:tc>
          <w:tcPr>
            <w:tcW w:w="3353" w:type="pct"/>
            <w:noWrap w:val="0"/>
            <w:vAlign w:val="top"/>
          </w:tcPr>
          <w:p w14:paraId="60AB2305">
            <w:pPr>
              <w:spacing w:before="96" w:beforeLines="40" w:after="96" w:afterLines="40"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内容、说明与要求</w:t>
            </w:r>
          </w:p>
        </w:tc>
      </w:tr>
      <w:tr w14:paraId="1782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70" w:type="pct"/>
            <w:noWrap w:val="0"/>
            <w:vAlign w:val="top"/>
          </w:tcPr>
          <w:p w14:paraId="359C1EB3">
            <w:pPr>
              <w:spacing w:before="96" w:beforeLines="40" w:after="96" w:afterLines="40"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76" w:type="pct"/>
            <w:noWrap w:val="0"/>
            <w:vAlign w:val="center"/>
          </w:tcPr>
          <w:p w14:paraId="5AEAFC24">
            <w:pPr>
              <w:spacing w:before="96" w:beforeLines="40" w:after="96" w:afterLines="40"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付款方式</w:t>
            </w:r>
          </w:p>
        </w:tc>
        <w:tc>
          <w:tcPr>
            <w:tcW w:w="3353" w:type="pct"/>
            <w:noWrap w:val="0"/>
            <w:vAlign w:val="top"/>
          </w:tcPr>
          <w:p w14:paraId="46897917">
            <w:pPr>
              <w:widowControl/>
              <w:adjustRightInd w:val="0"/>
              <w:snapToGrid w:val="0"/>
              <w:spacing w:before="96" w:beforeLines="40" w:after="96" w:afterLines="40"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同签订后一周内支付合同总价30%预付款给卖方；合同约定设备制造完成后买房进行交付前验收，验收通过后支付合同总价30%作为发货款，到货安装调试验收合格后支付30%合同总价作为验收款，一年后设备正常运行支付合同总价10%质保金。</w:t>
            </w:r>
          </w:p>
          <w:p w14:paraId="30E44488">
            <w:pPr>
              <w:widowControl/>
              <w:adjustRightInd w:val="0"/>
              <w:snapToGrid w:val="0"/>
              <w:spacing w:before="96" w:beforeLines="40" w:after="96" w:afterLines="4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上述要求不允许负偏离。</w:t>
            </w:r>
            <w:r>
              <w:rPr>
                <w:rFonts w:hint="eastAsia"/>
                <w:b/>
                <w:szCs w:val="21"/>
              </w:rPr>
              <w:t>否则，按无效响应文件处理。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796F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pct"/>
            <w:noWrap w:val="0"/>
            <w:vAlign w:val="top"/>
          </w:tcPr>
          <w:p w14:paraId="56651E95">
            <w:pPr>
              <w:spacing w:before="96" w:beforeLines="40" w:after="96" w:afterLines="40"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76" w:type="pct"/>
            <w:noWrap w:val="0"/>
            <w:vAlign w:val="center"/>
          </w:tcPr>
          <w:p w14:paraId="2B2C45D9">
            <w:pPr>
              <w:spacing w:before="96" w:beforeLines="40" w:after="96" w:afterLines="40"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交货期及安装调试期</w:t>
            </w:r>
          </w:p>
        </w:tc>
        <w:tc>
          <w:tcPr>
            <w:tcW w:w="3353" w:type="pct"/>
            <w:noWrap w:val="0"/>
            <w:vAlign w:val="top"/>
          </w:tcPr>
          <w:p w14:paraId="3384B99B">
            <w:pPr>
              <w:spacing w:before="96" w:beforeLines="40" w:after="96" w:afterLines="40"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合同签订后3个月内完成交货，交货后1个月内完成安装调试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 w14:paraId="4715A678">
            <w:pPr>
              <w:spacing w:before="96" w:beforeLines="40" w:after="96" w:afterLines="4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上述要求不允许负偏离。</w:t>
            </w:r>
            <w:r>
              <w:rPr>
                <w:rFonts w:hint="eastAsia"/>
                <w:b/>
                <w:bCs/>
                <w:szCs w:val="21"/>
              </w:rPr>
              <w:t>否则，按无效响应文件处理。</w:t>
            </w:r>
          </w:p>
        </w:tc>
      </w:tr>
      <w:tr w14:paraId="613C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70" w:type="pct"/>
            <w:noWrap w:val="0"/>
            <w:vAlign w:val="top"/>
          </w:tcPr>
          <w:p w14:paraId="2590D8B4">
            <w:pPr>
              <w:spacing w:before="96" w:beforeLines="40" w:after="96" w:afterLines="40"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76" w:type="pct"/>
            <w:noWrap w:val="0"/>
            <w:vAlign w:val="center"/>
          </w:tcPr>
          <w:p w14:paraId="7EF1CB21">
            <w:pPr>
              <w:spacing w:before="96" w:beforeLines="40" w:after="96" w:afterLines="40"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免费质保期</w:t>
            </w:r>
          </w:p>
        </w:tc>
        <w:tc>
          <w:tcPr>
            <w:tcW w:w="3353" w:type="pct"/>
            <w:noWrap w:val="0"/>
            <w:vAlign w:val="top"/>
          </w:tcPr>
          <w:p w14:paraId="6D283D2F">
            <w:pPr>
              <w:spacing w:before="96" w:beforeLines="40" w:after="96" w:afterLines="40" w:line="360" w:lineRule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电机质保期自验收合格之日起</w:t>
            </w:r>
            <w:r>
              <w:rPr>
                <w:rFonts w:hint="eastAsia"/>
                <w:szCs w:val="21"/>
                <w:u w:val="single"/>
              </w:rPr>
              <w:t xml:space="preserve"> 3</w:t>
            </w:r>
            <w:r>
              <w:rPr>
                <w:rFonts w:hint="eastAsia"/>
                <w:szCs w:val="21"/>
              </w:rPr>
              <w:t>年，其余部件质保期自验收合格之日起</w:t>
            </w:r>
            <w:r>
              <w:rPr>
                <w:rFonts w:hint="eastAsia"/>
                <w:szCs w:val="21"/>
                <w:u w:val="single"/>
              </w:rPr>
              <w:t xml:space="preserve"> 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 w14:paraId="5B360C8C">
            <w:pPr>
              <w:spacing w:before="96" w:beforeLines="40" w:after="96" w:afterLines="4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上述要求不允许负偏离。</w:t>
            </w:r>
            <w:r>
              <w:rPr>
                <w:rFonts w:hint="eastAsia"/>
                <w:b/>
                <w:szCs w:val="21"/>
              </w:rPr>
              <w:t>否则，按无效响应文件处理。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14:paraId="3B557BEC">
      <w:pPr>
        <w:jc w:val="left"/>
        <w:rPr>
          <w:rFonts w:hint="eastAsia" w:ascii="黑体" w:hAnsi="黑体" w:eastAsia="黑体"/>
          <w:sz w:val="28"/>
        </w:rPr>
      </w:pPr>
    </w:p>
    <w:p w14:paraId="725BE53E">
      <w:pPr>
        <w:numPr>
          <w:ilvl w:val="0"/>
          <w:numId w:val="1"/>
        </w:numPr>
        <w:jc w:val="left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货物需求</w:t>
      </w:r>
    </w:p>
    <w:p w14:paraId="58238B6B">
      <w:pPr>
        <w:spacing w:line="360" w:lineRule="auto"/>
        <w:jc w:val="left"/>
        <w:outlineLvl w:val="2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（一）货物指标重要性表述</w:t>
      </w:r>
    </w:p>
    <w:tbl>
      <w:tblPr>
        <w:tblStyle w:val="3"/>
        <w:tblW w:w="5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330"/>
        <w:gridCol w:w="5590"/>
      </w:tblGrid>
      <w:tr w14:paraId="7CB4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pct"/>
            <w:noWrap w:val="0"/>
            <w:vAlign w:val="center"/>
          </w:tcPr>
          <w:p w14:paraId="1DC72BC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sz w:val="24"/>
                <w:szCs w:val="18"/>
              </w:rPr>
              <w:t>标识重要性</w:t>
            </w:r>
          </w:p>
        </w:tc>
        <w:tc>
          <w:tcPr>
            <w:tcW w:w="765" w:type="pct"/>
            <w:noWrap w:val="0"/>
            <w:vAlign w:val="center"/>
          </w:tcPr>
          <w:p w14:paraId="58B3C15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sz w:val="24"/>
                <w:szCs w:val="18"/>
              </w:rPr>
              <w:t>标识符号</w:t>
            </w:r>
          </w:p>
        </w:tc>
        <w:tc>
          <w:tcPr>
            <w:tcW w:w="3215" w:type="pct"/>
            <w:noWrap w:val="0"/>
            <w:vAlign w:val="center"/>
          </w:tcPr>
          <w:p w14:paraId="7EFC013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sz w:val="24"/>
                <w:szCs w:val="18"/>
              </w:rPr>
              <w:t>代表意思</w:t>
            </w:r>
          </w:p>
        </w:tc>
      </w:tr>
      <w:tr w14:paraId="5356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19" w:type="pct"/>
            <w:noWrap w:val="0"/>
            <w:vAlign w:val="center"/>
          </w:tcPr>
          <w:p w14:paraId="6B592E3B">
            <w:pPr>
              <w:spacing w:line="360" w:lineRule="auto"/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关键性指标项</w:t>
            </w:r>
          </w:p>
        </w:tc>
        <w:tc>
          <w:tcPr>
            <w:tcW w:w="765" w:type="pct"/>
            <w:noWrap w:val="0"/>
            <w:vAlign w:val="center"/>
          </w:tcPr>
          <w:p w14:paraId="56329CE1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★</w:t>
            </w:r>
          </w:p>
        </w:tc>
        <w:tc>
          <w:tcPr>
            <w:tcW w:w="3215" w:type="pct"/>
            <w:noWrap w:val="0"/>
            <w:vAlign w:val="center"/>
          </w:tcPr>
          <w:p w14:paraId="1C2CCB61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不满足该指标项将导致投标被拒绝</w:t>
            </w:r>
          </w:p>
        </w:tc>
      </w:tr>
      <w:tr w14:paraId="2405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19" w:type="pct"/>
            <w:noWrap w:val="0"/>
            <w:vAlign w:val="center"/>
          </w:tcPr>
          <w:p w14:paraId="6628E5D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重要指标项</w:t>
            </w:r>
          </w:p>
        </w:tc>
        <w:tc>
          <w:tcPr>
            <w:tcW w:w="765" w:type="pct"/>
            <w:noWrap w:val="0"/>
            <w:vAlign w:val="center"/>
          </w:tcPr>
          <w:p w14:paraId="6AC792B6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■</w:t>
            </w:r>
          </w:p>
        </w:tc>
        <w:tc>
          <w:tcPr>
            <w:tcW w:w="3215" w:type="pct"/>
            <w:noWrap w:val="0"/>
            <w:vAlign w:val="center"/>
          </w:tcPr>
          <w:p w14:paraId="40578252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>评分项，每满足一项得8分</w:t>
            </w:r>
          </w:p>
        </w:tc>
      </w:tr>
      <w:tr w14:paraId="0724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19" w:type="pct"/>
            <w:noWrap w:val="0"/>
            <w:vAlign w:val="center"/>
          </w:tcPr>
          <w:p w14:paraId="6EFA3CA5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一般指标项</w:t>
            </w:r>
          </w:p>
        </w:tc>
        <w:tc>
          <w:tcPr>
            <w:tcW w:w="765" w:type="pct"/>
            <w:noWrap w:val="0"/>
            <w:vAlign w:val="center"/>
          </w:tcPr>
          <w:p w14:paraId="59B9A584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●</w:t>
            </w:r>
          </w:p>
        </w:tc>
        <w:tc>
          <w:tcPr>
            <w:tcW w:w="3215" w:type="pct"/>
            <w:noWrap w:val="0"/>
            <w:vAlign w:val="center"/>
          </w:tcPr>
          <w:p w14:paraId="20376F64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>评分项，每满足一项得3分</w:t>
            </w:r>
          </w:p>
        </w:tc>
      </w:tr>
      <w:tr w14:paraId="642A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pct"/>
            <w:noWrap w:val="0"/>
            <w:vAlign w:val="center"/>
          </w:tcPr>
          <w:p w14:paraId="5EC20290">
            <w:pPr>
              <w:spacing w:line="360" w:lineRule="auto"/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无标识项</w:t>
            </w:r>
          </w:p>
        </w:tc>
        <w:tc>
          <w:tcPr>
            <w:tcW w:w="765" w:type="pct"/>
            <w:noWrap w:val="0"/>
            <w:vAlign w:val="center"/>
          </w:tcPr>
          <w:p w14:paraId="1BF2C70F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18"/>
              </w:rPr>
            </w:pPr>
          </w:p>
        </w:tc>
        <w:tc>
          <w:tcPr>
            <w:tcW w:w="3215" w:type="pct"/>
            <w:noWrap w:val="0"/>
            <w:vAlign w:val="center"/>
          </w:tcPr>
          <w:p w14:paraId="75051EAC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累计达3项及以上未响应，</w:t>
            </w:r>
            <w:r>
              <w:rPr>
                <w:rFonts w:hint="eastAsia" w:ascii="宋体" w:hAnsi="宋体" w:cs="宋体"/>
                <w:sz w:val="24"/>
                <w:szCs w:val="18"/>
              </w:rPr>
              <w:t>投标无效</w:t>
            </w:r>
          </w:p>
        </w:tc>
      </w:tr>
      <w:tr w14:paraId="673D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3D79FA2">
            <w:pPr>
              <w:spacing w:line="360" w:lineRule="auto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注：如某项标识中包含多条技术参数或要求，则该项标识所含内容均需满足或优于竞争性磋商文件要求，否则不予认可。</w:t>
            </w:r>
          </w:p>
        </w:tc>
      </w:tr>
    </w:tbl>
    <w:p w14:paraId="4E8E3E36">
      <w:pPr>
        <w:spacing w:line="360" w:lineRule="auto"/>
        <w:jc w:val="left"/>
        <w:outlineLvl w:val="2"/>
        <w:rPr>
          <w:rFonts w:hint="eastAsia" w:ascii="宋体" w:hAnsi="宋体"/>
          <w:b/>
          <w:bCs/>
          <w:sz w:val="24"/>
        </w:rPr>
      </w:pPr>
    </w:p>
    <w:p w14:paraId="74ABA281">
      <w:pPr>
        <w:numPr>
          <w:ilvl w:val="0"/>
          <w:numId w:val="2"/>
        </w:numPr>
        <w:spacing w:line="360" w:lineRule="auto"/>
        <w:jc w:val="left"/>
        <w:outlineLvl w:val="2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货物指标要求</w:t>
      </w:r>
    </w:p>
    <w:p w14:paraId="39A01FAD">
      <w:pPr>
        <w:numPr>
          <w:ilvl w:val="0"/>
          <w:numId w:val="3"/>
        </w:numPr>
        <w:spacing w:line="360" w:lineRule="auto"/>
        <w:jc w:val="left"/>
        <w:outlineLvl w:val="2"/>
        <w:rPr>
          <w:rFonts w:hint="eastAsia" w:ascii="宋体" w:hAnsi="宋体"/>
          <w:bCs/>
          <w:sz w:val="24"/>
          <w:szCs w:val="18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货物名称：</w:t>
      </w:r>
      <w:r>
        <w:rPr>
          <w:rFonts w:hint="eastAsia" w:ascii="宋体" w:hAnsi="宋体"/>
          <w:bCs/>
          <w:sz w:val="24"/>
          <w:szCs w:val="18"/>
        </w:rPr>
        <w:t>同心退扭+DJ800（560）型单绞机设备</w:t>
      </w:r>
    </w:p>
    <w:p w14:paraId="4E160BEA">
      <w:pPr>
        <w:numPr>
          <w:ilvl w:val="0"/>
          <w:numId w:val="3"/>
        </w:numPr>
        <w:spacing w:line="360" w:lineRule="auto"/>
        <w:jc w:val="left"/>
        <w:outlineLvl w:val="2"/>
        <w:rPr>
          <w:rFonts w:hint="default" w:ascii="宋体" w:hAnsi="宋体"/>
          <w:bCs/>
          <w:sz w:val="24"/>
          <w:szCs w:val="18"/>
          <w:lang w:val="en-US" w:eastAsia="zh-CN"/>
        </w:rPr>
      </w:pPr>
      <w:r>
        <w:rPr>
          <w:rFonts w:hint="eastAsia" w:ascii="宋体" w:hAnsi="宋体"/>
          <w:bCs/>
          <w:sz w:val="24"/>
          <w:szCs w:val="18"/>
          <w:lang w:val="en-US" w:eastAsia="zh-CN"/>
        </w:rPr>
        <w:t>数量（单位）：1套</w:t>
      </w:r>
    </w:p>
    <w:p w14:paraId="0C67543A">
      <w:pPr>
        <w:numPr>
          <w:ilvl w:val="0"/>
          <w:numId w:val="3"/>
        </w:numPr>
        <w:spacing w:line="360" w:lineRule="auto"/>
        <w:jc w:val="left"/>
        <w:outlineLvl w:val="2"/>
        <w:rPr>
          <w:rFonts w:hint="default" w:ascii="宋体" w:hAnsi="宋体"/>
          <w:bCs/>
          <w:sz w:val="24"/>
          <w:szCs w:val="18"/>
          <w:lang w:val="en-US" w:eastAsia="zh-CN"/>
        </w:rPr>
      </w:pPr>
      <w:r>
        <w:rPr>
          <w:rFonts w:hint="eastAsia" w:ascii="宋体" w:hAnsi="宋体"/>
          <w:bCs/>
          <w:sz w:val="24"/>
          <w:szCs w:val="18"/>
          <w:lang w:val="en-US" w:eastAsia="zh-CN"/>
        </w:rPr>
        <w:t>技术参数及要求：</w:t>
      </w:r>
    </w:p>
    <w:p w14:paraId="0CD800C3">
      <w:pPr>
        <w:numPr>
          <w:ilvl w:val="0"/>
          <w:numId w:val="4"/>
        </w:num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主要参数</w:t>
      </w:r>
    </w:p>
    <w:p w14:paraId="3CC129AA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18"/>
        </w:rPr>
        <w:t>■</w:t>
      </w:r>
      <w:r>
        <w:rPr>
          <w:rFonts w:hint="eastAsia" w:ascii="宋体" w:hAnsi="宋体" w:cs="宋体"/>
          <w:b/>
          <w:bCs/>
          <w:sz w:val="24"/>
        </w:rPr>
        <w:t>满足单线直径 0.7-1.1mm超导线材绞制，最大绞合外径3mm；</w:t>
      </w:r>
      <w:r>
        <w:rPr>
          <w:rFonts w:hint="eastAsia" w:ascii="宋体" w:hAnsi="宋体" w:cs="宋体"/>
          <w:sz w:val="24"/>
        </w:rPr>
        <w:t xml:space="preserve"> </w:t>
      </w:r>
    </w:p>
    <w:p w14:paraId="487D35CD"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</w:t>
      </w:r>
      <w:r>
        <w:rPr>
          <w:rFonts w:hint="eastAsia" w:ascii="宋体" w:hAnsi="宋体" w:cs="宋体"/>
          <w:b/>
          <w:bCs/>
          <w:sz w:val="24"/>
        </w:rPr>
        <w:t>★</w:t>
      </w:r>
      <w:r>
        <w:rPr>
          <w:rFonts w:hint="eastAsia" w:ascii="宋体" w:hAnsi="宋体" w:cs="宋体"/>
          <w:sz w:val="24"/>
        </w:rPr>
        <w:t>绞合节距：10-140mm，</w:t>
      </w:r>
      <w:r>
        <w:rPr>
          <w:rFonts w:hint="eastAsia" w:ascii="宋体" w:hAnsi="宋体" w:cs="宋体"/>
          <w:b/>
          <w:bCs/>
          <w:sz w:val="24"/>
        </w:rPr>
        <w:t>节距公差≤5%；</w:t>
      </w:r>
    </w:p>
    <w:p w14:paraId="258B641F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★放线张力范围为0~50N，张力控制波动≤10%； </w:t>
      </w:r>
    </w:p>
    <w:p w14:paraId="0DD2B0F8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★绞体最高转速 800rpm；</w:t>
      </w:r>
    </w:p>
    <w:p w14:paraId="62022559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★设备整体采用分电机方式控制；</w:t>
      </w:r>
    </w:p>
    <w:p w14:paraId="5FADEF8E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★</w:t>
      </w:r>
      <w:r>
        <w:rPr>
          <w:rFonts w:hint="eastAsia" w:ascii="宋体" w:hAnsi="宋体" w:cs="宋体"/>
          <w:sz w:val="24"/>
        </w:rPr>
        <w:t>实现完全退扭；</w:t>
      </w:r>
    </w:p>
    <w:p w14:paraId="3A47A959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</w:t>
      </w:r>
      <w:r>
        <w:rPr>
          <w:rFonts w:hint="eastAsia" w:ascii="宋体" w:hAnsi="宋体" w:cs="宋体"/>
          <w:sz w:val="24"/>
          <w:szCs w:val="18"/>
        </w:rPr>
        <w:t>■</w:t>
      </w:r>
      <w:r>
        <w:rPr>
          <w:rFonts w:hint="eastAsia" w:ascii="宋体" w:hAnsi="宋体" w:cs="宋体"/>
          <w:sz w:val="24"/>
        </w:rPr>
        <w:t xml:space="preserve">牵引最大速度200m/min； </w:t>
      </w:r>
    </w:p>
    <w:p w14:paraId="2E171F5F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●放线盘规格：PND560，收线盘规格：PND630～PND800；</w:t>
      </w:r>
    </w:p>
    <w:p w14:paraId="69482E04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●设备中心高：1000mm</w:t>
      </w:r>
    </w:p>
    <w:p w14:paraId="0B2AC076">
      <w:pPr>
        <w:spacing w:line="360" w:lineRule="auto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（2）设备主要部件</w:t>
      </w:r>
      <w:r>
        <w:rPr>
          <w:rFonts w:hint="eastAsia" w:ascii="宋体" w:hAnsi="宋体" w:cs="宋体"/>
          <w:sz w:val="24"/>
        </w:rPr>
        <w:t xml:space="preserve"> </w:t>
      </w:r>
    </w:p>
    <w:p w14:paraId="75D357AB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</w:t>
      </w:r>
      <w:r>
        <w:rPr>
          <w:rFonts w:hint="eastAsia" w:ascii="宋体" w:hAnsi="宋体" w:cs="宋体"/>
          <w:b/>
          <w:bCs/>
          <w:sz w:val="24"/>
        </w:rPr>
        <w:t>★卧式PND630(PND560)兼容型主动退扭放线架（线轴水平放置）：3头；</w:t>
      </w:r>
      <w:r>
        <w:rPr>
          <w:rFonts w:hint="eastAsia" w:ascii="宋体" w:hAnsi="宋体" w:cs="宋体"/>
          <w:sz w:val="24"/>
        </w:rPr>
        <w:t xml:space="preserve"> </w:t>
      </w:r>
    </w:p>
    <w:p w14:paraId="291F2555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●主机：悬臂单绞收线1套； </w:t>
      </w:r>
    </w:p>
    <w:p w14:paraId="7AC2C78E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●旋转并线模架：1套； </w:t>
      </w:r>
    </w:p>
    <w:p w14:paraId="791E145E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●电气控制系统； </w:t>
      </w:r>
    </w:p>
    <w:p w14:paraId="06A6C238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●旋转牵引 1套</w:t>
      </w:r>
    </w:p>
    <w:p w14:paraId="7C79CB74">
      <w:pPr>
        <w:spacing w:line="360" w:lineRule="auto"/>
        <w:ind w:firstLine="120" w:firstLineChars="50"/>
        <w:rPr>
          <w:rFonts w:hint="eastAsia" w:ascii="黑体" w:hAnsi="黑体" w:eastAsia="黑体" w:cs="黑体"/>
          <w:sz w:val="24"/>
        </w:rPr>
      </w:pPr>
      <w:r>
        <w:rPr>
          <w:rFonts w:hint="eastAsia" w:ascii="宋体" w:hAnsi="宋体" w:cs="宋体"/>
          <w:b/>
          <w:bCs/>
          <w:sz w:val="24"/>
        </w:rPr>
        <w:t>（3）主要部件的技术参数及结构</w:t>
      </w:r>
      <w:r>
        <w:rPr>
          <w:rFonts w:hint="eastAsia" w:ascii="黑体" w:hAnsi="黑体" w:eastAsia="黑体" w:cs="黑体"/>
          <w:sz w:val="24"/>
        </w:rPr>
        <w:t xml:space="preserve"> </w:t>
      </w:r>
    </w:p>
    <w:p w14:paraId="0ED4D00C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 </w:t>
      </w:r>
      <w:r>
        <w:rPr>
          <w:rFonts w:hint="eastAsia" w:ascii="宋体" w:hAnsi="宋体" w:cs="宋体"/>
          <w:b/>
          <w:bCs/>
          <w:sz w:val="24"/>
        </w:rPr>
        <w:t>3.1 主机</w:t>
      </w:r>
    </w:p>
    <w:p w14:paraId="5114A7DA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3.1.1 绞合节距：10-140mm，节距误差小于5%。</w:t>
      </w:r>
    </w:p>
    <w:p w14:paraId="798D4FD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3.1.2 线盘升降为电动升降，升降盘放松过程在10秒內，裝卸线即可完成，裝卸线盘方便。</w:t>
      </w:r>
    </w:p>
    <w:p w14:paraId="26C7027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3.1.3 停机过程中需提供有效制动，制动采用气动式刹车，避免造成设备的拉伤。</w:t>
      </w:r>
    </w:p>
    <w:p w14:paraId="04EDEF8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3.1.4 收线采用伺服电机控制，收线张力随成盘米数实现自动调节，确保收线张力稳定。</w:t>
      </w:r>
    </w:p>
    <w:p w14:paraId="372B6D9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3.1.5 提供精密排线方案，排线具备自动跟踪功能。</w:t>
      </w:r>
    </w:p>
    <w:p w14:paraId="62AC996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3.1.6 主机通过触摸屏，PLC程序转换，具有“Z向”、“S向”绞合功能。</w:t>
      </w:r>
    </w:p>
    <w:p w14:paraId="409071C8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3.1.7 主机外配备显示屏，可直观看到绞向、长度、节距、张力等参数的变化。</w:t>
      </w:r>
    </w:p>
    <w:p w14:paraId="5FF3504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3.1.8 主机为单绞机，</w:t>
      </w:r>
      <w:r>
        <w:rPr>
          <w:rFonts w:hint="eastAsia" w:ascii="宋体" w:hAnsi="宋体" w:cs="宋体"/>
          <w:bCs/>
          <w:sz w:val="24"/>
          <w:szCs w:val="28"/>
        </w:rPr>
        <w:t>回转体为悬臂結构，能够保证在生产中稳定过线，</w:t>
      </w:r>
      <w:r>
        <w:rPr>
          <w:rFonts w:hint="eastAsia" w:ascii="宋体" w:hAnsi="宋体" w:cs="宋体"/>
          <w:sz w:val="24"/>
        </w:rPr>
        <w:t>同时不会因高速旋转增加噪音。</w:t>
      </w:r>
    </w:p>
    <w:p w14:paraId="61BE2888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3.1.9 所有过线导轮直径＞200mm。</w:t>
      </w:r>
    </w:p>
    <w:p w14:paraId="7FFC3D41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3.1.10 带有断线保护自动急停功能。</w:t>
      </w:r>
    </w:p>
    <w:p w14:paraId="4441B11B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3.2 卧式PND630(PND560)兼容型主动退扭放线架。</w:t>
      </w:r>
    </w:p>
    <w:p w14:paraId="12FC973F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3.2.1 线盘规格：PND560～PND630</w:t>
      </w:r>
    </w:p>
    <w:p w14:paraId="37FE8AB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3.2.2最大转速：800rpm</w:t>
      </w:r>
    </w:p>
    <w:p w14:paraId="78524CC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3.2.3 张力控制：进口张力单元控制。</w:t>
      </w:r>
    </w:p>
    <w:p w14:paraId="3D250C9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3.2.4 伺服电机控制，采用同心式主动退扭，电动升降，带锁紧机构，防松脱。</w:t>
      </w:r>
    </w:p>
    <w:p w14:paraId="09CCBB2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3.2.5 单根线张力均衡，装盘量与张力可调节,且方便。</w:t>
      </w:r>
    </w:p>
    <w:p w14:paraId="2A856DCB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3.2.6 启停机平稳，停机时放线盘制动稳定，不散线。</w:t>
      </w:r>
    </w:p>
    <w:p w14:paraId="36D2A81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3.2.7 采用同心式旋转张力调节机构，张力缓冲平稳光滑,进口张力单元控制调节放线张力，且外部可调、可设定。每盘放线实际张力在主操作台上实时显示。</w:t>
      </w:r>
    </w:p>
    <w:p w14:paraId="3F2E88AE">
      <w:pPr>
        <w:adjustRightInd w:val="0"/>
        <w:spacing w:line="360" w:lineRule="auto"/>
        <w:ind w:firstLine="480" w:firstLineChars="200"/>
        <w:textAlignment w:val="baseline"/>
        <w:rPr>
          <w:rFonts w:hint="eastAsia" w:ascii="宋体" w:hAnsi="宋体" w:cs="宋体"/>
          <w:kern w:val="0"/>
          <w:sz w:val="24"/>
          <w:szCs w:val="20"/>
        </w:rPr>
      </w:pPr>
      <w:r>
        <w:rPr>
          <w:rFonts w:hint="eastAsia" w:ascii="宋体" w:hAnsi="宋体" w:cs="宋体"/>
          <w:sz w:val="24"/>
        </w:rPr>
        <w:t>3.2.8</w:t>
      </w:r>
      <w:r>
        <w:rPr>
          <w:rFonts w:hint="eastAsia" w:ascii="宋体" w:hAnsi="宋体" w:cs="宋体"/>
          <w:b/>
          <w:kern w:val="0"/>
          <w:sz w:val="24"/>
          <w:szCs w:val="20"/>
        </w:rPr>
        <w:t>三台放线架出线到分线板距离要求相等</w:t>
      </w:r>
      <w:r>
        <w:rPr>
          <w:rFonts w:hint="eastAsia" w:ascii="宋体" w:hAnsi="宋体" w:cs="宋体"/>
          <w:kern w:val="0"/>
          <w:sz w:val="24"/>
          <w:szCs w:val="20"/>
        </w:rPr>
        <w:t>。</w:t>
      </w:r>
    </w:p>
    <w:p w14:paraId="0A9D2981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3.2.9 </w:t>
      </w:r>
      <w:r>
        <w:rPr>
          <w:rFonts w:hint="eastAsia" w:ascii="宋体" w:hAnsi="宋体" w:cs="宋体"/>
          <w:b/>
          <w:bCs/>
          <w:kern w:val="0"/>
          <w:sz w:val="24"/>
          <w:szCs w:val="28"/>
        </w:rPr>
        <w:t>放线架要求罩壳密封</w:t>
      </w:r>
      <w:r>
        <w:rPr>
          <w:rFonts w:hint="eastAsia" w:ascii="宋体" w:hAnsi="宋体" w:cs="宋体"/>
          <w:bCs/>
          <w:kern w:val="0"/>
          <w:sz w:val="24"/>
          <w:szCs w:val="28"/>
        </w:rPr>
        <w:t>，</w:t>
      </w:r>
      <w:r>
        <w:rPr>
          <w:rFonts w:hint="eastAsia" w:ascii="宋体" w:hAnsi="宋体" w:cs="宋体"/>
          <w:sz w:val="24"/>
        </w:rPr>
        <w:t>具有故障自动停机功能。</w:t>
      </w:r>
    </w:p>
    <w:p w14:paraId="79982A18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3.3 </w:t>
      </w:r>
      <w:r>
        <w:rPr>
          <w:rFonts w:hint="eastAsia" w:ascii="宋体" w:hAnsi="宋体" w:cs="宋体"/>
          <w:b/>
          <w:bCs/>
          <w:sz w:val="24"/>
        </w:rPr>
        <w:t>旋转</w:t>
      </w:r>
      <w:r>
        <w:rPr>
          <w:rFonts w:hint="eastAsia" w:ascii="宋体" w:hAnsi="宋体" w:cs="宋体"/>
          <w:b/>
          <w:bCs/>
          <w:sz w:val="24"/>
        </w:rPr>
        <w:t>并线模架</w:t>
      </w:r>
    </w:p>
    <w:p w14:paraId="7568EAAA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3.3.1 集线座配分线板，过线孔为φ4.5mm，镶嵌优质陶瓷过线模，过渡圆弧半径不小于40mm，确保不伤线。</w:t>
      </w:r>
    </w:p>
    <w:p w14:paraId="23AC422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3.3.2 分线板到并线模的距离为300～600mm，，并线模为双模座，两个圆形并线模能夹紧定位并能够轴向调节。</w:t>
      </w:r>
    </w:p>
    <w:p w14:paraId="6965065F">
      <w:pPr>
        <w:spacing w:line="360" w:lineRule="auto"/>
        <w:ind w:firstLine="480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3.3.3并线模具旋转速度与主机保持协调一致。</w:t>
      </w:r>
    </w:p>
    <w:p w14:paraId="08C3157B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3.4电气控制系统</w:t>
      </w:r>
    </w:p>
    <w:p w14:paraId="59129C8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3.4.1 独立控制柜，启停,急停,断线保护,与主机联动接口和单联动选择开关。</w:t>
      </w:r>
    </w:p>
    <w:p w14:paraId="47ADEE4A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3.4.2 本机电源为三相五线制,380V(10%),50HZ，单相控制电压220V。</w:t>
      </w:r>
    </w:p>
    <w:p w14:paraId="356848D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3.4.3  整机采用PLC及工控机（触摸屏）统一协调控制，主要运行参数自动跟踪显示。在线速度、在线米数、在线张力等工艺参数可在触摸屏上进行设定、修改、实时显示；也可在作业时进行瞬间数据采样，工控机系统预留打印接口，便于数据收集；在触摸屏上进行整机启停操作控制及故障查询。电器元件均采用品牌产品（供货商需标明）。</w:t>
      </w:r>
    </w:p>
    <w:p w14:paraId="7590C0AF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3.5 计米器</w:t>
      </w:r>
    </w:p>
    <w:p w14:paraId="0A70881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3.5.1 最大计米长度9999m。</w:t>
      </w:r>
    </w:p>
    <w:p w14:paraId="56F226C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3.5.2 计米精度误差 ≤3‰。</w:t>
      </w:r>
    </w:p>
    <w:p w14:paraId="0EA62D6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3.5.3 具有校正功能可以方便校正计米长度，计米长度显示在控制柜面板上，并具有清零等功能。</w:t>
      </w:r>
    </w:p>
    <w:p w14:paraId="18430F4F">
      <w:pPr>
        <w:spacing w:line="360" w:lineRule="auto"/>
        <w:ind w:firstLine="241" w:firstLineChars="1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3</w:t>
      </w:r>
      <w:r>
        <w:rPr>
          <w:rFonts w:hint="eastAsia" w:ascii="宋体" w:hAnsi="宋体" w:cs="宋体"/>
          <w:b/>
          <w:sz w:val="24"/>
          <w:lang w:eastAsia="zh-CN"/>
        </w:rPr>
        <w:t>.</w:t>
      </w:r>
      <w:r>
        <w:rPr>
          <w:rFonts w:hint="eastAsia" w:ascii="宋体" w:hAnsi="宋体" w:cs="宋体"/>
          <w:b/>
          <w:sz w:val="24"/>
        </w:rPr>
        <w:t>6 旋转牵引</w:t>
      </w:r>
    </w:p>
    <w:p w14:paraId="4B38D37A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3.6.1 转速与主机同步</w:t>
      </w:r>
    </w:p>
    <w:p w14:paraId="5B554E1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3.6.2 内置张力控制，进口张力控制单元</w:t>
      </w:r>
    </w:p>
    <w:p w14:paraId="7916E5AC">
      <w:pPr>
        <w:spacing w:line="360" w:lineRule="auto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（4）装机总功率：50kVA（参考）</w:t>
      </w:r>
    </w:p>
    <w:p w14:paraId="2D200E1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设备操作方向: 左手机,即面对设备操作,右放线,左收线；用户确认。</w:t>
      </w:r>
    </w:p>
    <w:p w14:paraId="75B6CF76">
      <w:pPr>
        <w:numPr>
          <w:ilvl w:val="0"/>
          <w:numId w:val="5"/>
        </w:numPr>
        <w:spacing w:line="360" w:lineRule="auto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用户提供线盘图纸。</w:t>
      </w:r>
    </w:p>
    <w:p w14:paraId="7608F558">
      <w:pPr>
        <w:numPr>
          <w:ilvl w:val="0"/>
          <w:numId w:val="5"/>
        </w:numPr>
        <w:spacing w:line="360" w:lineRule="auto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缆线洁净度要求高，因此设备所有有油污的地方要密封，设备表层保持无油渍。</w:t>
      </w:r>
    </w:p>
    <w:p w14:paraId="0021E8B9">
      <w:pPr>
        <w:numPr>
          <w:ilvl w:val="0"/>
          <w:numId w:val="5"/>
        </w:numPr>
        <w:spacing w:line="360" w:lineRule="auto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供应商应提供自己的设备规范要求及技术差异表。</w:t>
      </w:r>
    </w:p>
    <w:p w14:paraId="0E2DD752">
      <w:pPr>
        <w:numPr>
          <w:ilvl w:val="0"/>
          <w:numId w:val="5"/>
        </w:numPr>
        <w:spacing w:line="360" w:lineRule="auto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所有过线导轮或过线嘴表面都要光滑、无毛刺。</w:t>
      </w:r>
    </w:p>
    <w:p w14:paraId="22846ED0">
      <w:pPr>
        <w:numPr>
          <w:ilvl w:val="0"/>
          <w:numId w:val="5"/>
        </w:numPr>
        <w:spacing w:line="360" w:lineRule="auto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验收要求：</w:t>
      </w:r>
    </w:p>
    <w:p w14:paraId="08F0B1B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9.1 设备连续空转6小时，负载运转3小时，噪音及油温正常，无漏油现象，开关（按键）灵敏可靠；对于启停机阶段，电缆节距要求稳定，</w:t>
      </w:r>
      <w:r>
        <w:rPr>
          <w:rFonts w:hint="eastAsia" w:ascii="宋体" w:hAnsi="宋体" w:cs="宋体"/>
          <w:b/>
          <w:bCs/>
          <w:sz w:val="24"/>
        </w:rPr>
        <w:t>并提供放线和收线之间的电缆线节距波动控制解决方案</w:t>
      </w:r>
      <w:r>
        <w:rPr>
          <w:rFonts w:hint="eastAsia" w:ascii="宋体" w:hAnsi="宋体" w:cs="宋体"/>
          <w:sz w:val="24"/>
        </w:rPr>
        <w:t>。</w:t>
      </w:r>
    </w:p>
    <w:p w14:paraId="5E2D53AA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9.2 设备配置符合以上约定要求，且功能符合单动或联动要求。</w:t>
      </w:r>
    </w:p>
    <w:p w14:paraId="17F35B4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9.3 试制大中小三个规格的产品，缆芯无拉细现象，符合工艺要求。</w:t>
      </w:r>
    </w:p>
    <w:p w14:paraId="7385ACA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9.4  验证绞缆节距精度：20mm节距误差±1mm，30mm节距误差±1.5mm，45mm节距误差±2.25mm，80mm节距误差±3mm。</w:t>
      </w:r>
      <w:bookmarkStart w:id="0" w:name="_GoBack"/>
      <w:bookmarkEnd w:id="0"/>
    </w:p>
    <w:p w14:paraId="6E1DA1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681A9"/>
    <w:multiLevelType w:val="singleLevel"/>
    <w:tmpl w:val="94F681A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AD9A7ED"/>
    <w:multiLevelType w:val="singleLevel"/>
    <w:tmpl w:val="0AD9A7E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75A5756"/>
    <w:multiLevelType w:val="singleLevel"/>
    <w:tmpl w:val="375A5756"/>
    <w:lvl w:ilvl="0" w:tentative="0">
      <w:start w:val="5"/>
      <w:numFmt w:val="decimal"/>
      <w:suff w:val="nothing"/>
      <w:lvlText w:val="（%1）"/>
      <w:lvlJc w:val="left"/>
    </w:lvl>
  </w:abstractNum>
  <w:abstractNum w:abstractNumId="3">
    <w:nsid w:val="3DE83AAA"/>
    <w:multiLevelType w:val="singleLevel"/>
    <w:tmpl w:val="3DE83AA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E1C7A29"/>
    <w:multiLevelType w:val="singleLevel"/>
    <w:tmpl w:val="4E1C7A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C4BCF"/>
    <w:rsid w:val="356815AA"/>
    <w:rsid w:val="44BC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2025-09-10T08:28:00Z</dcterms:created>
  <dc:creator>Navy.</dc:creator>
  <cp:lastModifiedBy>Navy.</cp:lastModifiedBy>
  <dcterms:modified xsi:type="dcterms:W3CDTF">2025-09-10T08:51:11Z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344FD18F1BD74F9788EA766A3C18190A_11</vt:lpwstr>
  </property>
  <property fmtid="{D5CDD505-2E9C-101B-9397-08002B2CF9AE}" pid="4" name="KSOTemplateDocerSaveRecord">
    <vt:lpwstr>eyJoZGlkIjoiMGVhZTk4MzkwZjE4ZTMwZjE2YTJmOWUyMGFlNTRlMzgiLCJ1c2VySWQiOiIxMDM4ODc5MTgzIn0=</vt:lpwstr>
  </property>
</Properties>
</file>